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706A0">
      <w:pPr>
        <w:spacing w:line="360" w:lineRule="auto"/>
        <w:jc w:val="center"/>
        <w:rPr>
          <w:rFonts w:hint="eastAsia" w:ascii="黑体" w:hAnsi="黑体" w:eastAsia="黑体" w:cs="黑体"/>
          <w:b w:val="0"/>
          <w:bCs w:val="0"/>
          <w:sz w:val="36"/>
          <w:szCs w:val="36"/>
        </w:rPr>
      </w:pPr>
      <w:r>
        <w:rPr>
          <w:rFonts w:hint="eastAsia" w:ascii="黑体" w:hAnsi="黑体" w:eastAsia="黑体" w:cs="黑体"/>
          <w:b w:val="0"/>
          <w:bCs w:val="0"/>
          <w:sz w:val="36"/>
          <w:szCs w:val="36"/>
        </w:rPr>
        <w:t>主</w:t>
      </w:r>
      <w:r>
        <w:rPr>
          <w:rFonts w:hint="eastAsia" w:ascii="黑体" w:hAnsi="黑体" w:eastAsia="黑体" w:cs="黑体"/>
          <w:b w:val="0"/>
          <w:bCs w:val="0"/>
          <w:sz w:val="36"/>
          <w:szCs w:val="36"/>
          <w:lang w:eastAsia="zh-CN"/>
        </w:rPr>
        <w:t>、</w:t>
      </w:r>
      <w:r>
        <w:rPr>
          <w:rFonts w:hint="eastAsia" w:ascii="黑体" w:hAnsi="黑体" w:eastAsia="黑体" w:cs="黑体"/>
          <w:b w:val="0"/>
          <w:bCs w:val="0"/>
          <w:sz w:val="36"/>
          <w:szCs w:val="36"/>
        </w:rPr>
        <w:t>副供应商价格与份额分配规则</w:t>
      </w:r>
    </w:p>
    <w:p w14:paraId="4D42BE96">
      <w:pPr>
        <w:spacing w:line="360" w:lineRule="auto"/>
        <w:rPr>
          <w:rFonts w:hint="eastAsia" w:ascii="华文细黑" w:hAnsi="华文细黑" w:eastAsia="华文细黑" w:cs="华文细黑"/>
          <w:sz w:val="28"/>
          <w:szCs w:val="28"/>
        </w:rPr>
      </w:pPr>
    </w:p>
    <w:p w14:paraId="571FCDE3">
      <w:pPr>
        <w:spacing w:line="360" w:lineRule="auto"/>
        <w:rPr>
          <w:rFonts w:hint="eastAsia" w:ascii="华文细黑" w:hAnsi="华文细黑" w:eastAsia="华文细黑" w:cs="华文细黑"/>
          <w:b/>
          <w:bCs/>
          <w:sz w:val="28"/>
          <w:szCs w:val="28"/>
        </w:rPr>
      </w:pPr>
      <w:r>
        <w:rPr>
          <w:rFonts w:hint="eastAsia" w:ascii="华文细黑" w:hAnsi="华文细黑" w:eastAsia="华文细黑" w:cs="华文细黑"/>
          <w:b/>
          <w:bCs/>
          <w:sz w:val="28"/>
          <w:szCs w:val="28"/>
        </w:rPr>
        <w:t>适用范围：</w:t>
      </w:r>
      <w:r>
        <w:rPr>
          <w:rFonts w:hint="eastAsia" w:ascii="华文细黑" w:hAnsi="华文细黑" w:eastAsia="华文细黑" w:cs="华文细黑"/>
          <w:b w:val="0"/>
          <w:bCs w:val="0"/>
          <w:sz w:val="28"/>
          <w:szCs w:val="28"/>
          <w:lang w:eastAsia="zh-CN"/>
        </w:rPr>
        <w:t>《</w:t>
      </w:r>
      <w:r>
        <w:rPr>
          <w:rFonts w:hint="eastAsia" w:ascii="华文细黑" w:hAnsi="华文细黑" w:eastAsia="华文细黑" w:cs="华文细黑"/>
          <w:b w:val="0"/>
          <w:bCs w:val="0"/>
          <w:sz w:val="28"/>
          <w:szCs w:val="28"/>
        </w:rPr>
        <w:t>五年</w:t>
      </w:r>
      <w:r>
        <w:rPr>
          <w:rFonts w:hint="eastAsia" w:ascii="华文细黑" w:hAnsi="华文细黑" w:eastAsia="华文细黑" w:cs="华文细黑"/>
          <w:b w:val="0"/>
          <w:bCs w:val="0"/>
          <w:sz w:val="28"/>
          <w:szCs w:val="28"/>
          <w:lang w:val="en-US" w:eastAsia="zh-CN"/>
        </w:rPr>
        <w:t>供货资格</w:t>
      </w:r>
      <w:r>
        <w:rPr>
          <w:rFonts w:hint="eastAsia" w:ascii="华文细黑" w:hAnsi="华文细黑" w:eastAsia="华文细黑" w:cs="华文细黑"/>
          <w:b w:val="0"/>
          <w:bCs w:val="0"/>
          <w:sz w:val="28"/>
          <w:szCs w:val="28"/>
        </w:rPr>
        <w:t>框架协议</w:t>
      </w:r>
      <w:r>
        <w:rPr>
          <w:rFonts w:hint="eastAsia" w:ascii="华文细黑" w:hAnsi="华文细黑" w:eastAsia="华文细黑" w:cs="华文细黑"/>
          <w:b w:val="0"/>
          <w:bCs w:val="0"/>
          <w:sz w:val="28"/>
          <w:szCs w:val="28"/>
          <w:lang w:eastAsia="zh-CN"/>
        </w:rPr>
        <w:t>》</w:t>
      </w:r>
      <w:r>
        <w:rPr>
          <w:rFonts w:hint="eastAsia" w:ascii="华文细黑" w:hAnsi="华文细黑" w:eastAsia="华文细黑" w:cs="华文细黑"/>
          <w:b w:val="0"/>
          <w:bCs w:val="0"/>
          <w:sz w:val="28"/>
          <w:szCs w:val="28"/>
        </w:rPr>
        <w:t>下的年度合同</w:t>
      </w:r>
    </w:p>
    <w:p w14:paraId="07599458">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b/>
          <w:bCs/>
          <w:sz w:val="28"/>
          <w:szCs w:val="28"/>
        </w:rPr>
        <w:t>目的：</w:t>
      </w:r>
      <w:r>
        <w:rPr>
          <w:rFonts w:hint="eastAsia" w:ascii="华文细黑" w:hAnsi="华文细黑" w:eastAsia="华文细黑" w:cs="华文细黑"/>
          <w:b w:val="0"/>
          <w:bCs w:val="0"/>
          <w:sz w:val="28"/>
          <w:szCs w:val="28"/>
        </w:rPr>
        <w:t>公平、透明地处理主、副供应商之间的价格差异及订单份额分配</w:t>
      </w:r>
    </w:p>
    <w:p w14:paraId="2F4E7CB8">
      <w:pPr>
        <w:spacing w:line="360" w:lineRule="auto"/>
        <w:rPr>
          <w:rFonts w:hint="eastAsia" w:ascii="黑体" w:hAnsi="黑体" w:eastAsia="黑体" w:cs="黑体"/>
          <w:b w:val="0"/>
          <w:bCs w:val="0"/>
          <w:sz w:val="32"/>
          <w:szCs w:val="32"/>
        </w:rPr>
      </w:pPr>
      <w:r>
        <w:rPr>
          <w:rFonts w:hint="eastAsia" w:ascii="黑体" w:hAnsi="黑体" w:eastAsia="黑体" w:cs="黑体"/>
          <w:b w:val="0"/>
          <w:bCs w:val="0"/>
          <w:sz w:val="32"/>
          <w:szCs w:val="32"/>
        </w:rPr>
        <w:t>一、总则</w:t>
      </w:r>
    </w:p>
    <w:p w14:paraId="3340135B">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1. 本规则适用于通过招标确定的主供应商与副供应商。</w:t>
      </w:r>
    </w:p>
    <w:p w14:paraId="6DD6A52C">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2. 主、副供应商的年度订单份额、价格差异容忍度及调整机制，均按本规则执行。</w:t>
      </w:r>
    </w:p>
    <w:p w14:paraId="055AE5EB">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3. 本规则旨在平衡</w:t>
      </w:r>
      <w:r>
        <w:rPr>
          <w:rFonts w:hint="eastAsia" w:ascii="黑体" w:hAnsi="黑体" w:eastAsia="黑体" w:cs="黑体"/>
          <w:b w:val="0"/>
          <w:bCs w:val="0"/>
          <w:sz w:val="28"/>
          <w:szCs w:val="28"/>
        </w:rPr>
        <w:t>质量保障</w:t>
      </w:r>
      <w:r>
        <w:rPr>
          <w:rFonts w:hint="eastAsia" w:ascii="华文细黑" w:hAnsi="华文细黑" w:eastAsia="华文细黑" w:cs="华文细黑"/>
          <w:sz w:val="28"/>
          <w:szCs w:val="28"/>
        </w:rPr>
        <w:t>与</w:t>
      </w:r>
      <w:r>
        <w:rPr>
          <w:rFonts w:hint="eastAsia" w:ascii="黑体" w:hAnsi="黑体" w:eastAsia="黑体" w:cs="黑体"/>
          <w:sz w:val="28"/>
          <w:szCs w:val="28"/>
        </w:rPr>
        <w:t>成本控制</w:t>
      </w:r>
      <w:r>
        <w:rPr>
          <w:rFonts w:hint="eastAsia" w:ascii="华文细黑" w:hAnsi="华文细黑" w:eastAsia="华文细黑" w:cs="华文细黑"/>
          <w:sz w:val="28"/>
          <w:szCs w:val="28"/>
        </w:rPr>
        <w:t>，既认可主供应商的综合优势，又激励副供应商持续改进。</w:t>
      </w:r>
    </w:p>
    <w:p w14:paraId="135F7814">
      <w:pPr>
        <w:spacing w:line="360" w:lineRule="auto"/>
        <w:rPr>
          <w:rFonts w:hint="eastAsia" w:ascii="华文细黑" w:hAnsi="华文细黑" w:eastAsia="华文细黑" w:cs="华文细黑"/>
          <w:sz w:val="28"/>
          <w:szCs w:val="28"/>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、年度考核调价与份额联动</w:t>
      </w:r>
    </w:p>
    <w:p w14:paraId="2661E0EA">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主、副供应商每年重新认定（依据上一年度考核结果）。本规则与年度考核挂钩如下：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28A1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top"/>
          </w:tcPr>
          <w:p w14:paraId="7C9A773C">
            <w:pPr>
              <w:spacing w:line="360" w:lineRule="auto"/>
              <w:jc w:val="center"/>
              <w:rPr>
                <w:rFonts w:hint="eastAsia" w:ascii="华文细黑" w:hAnsi="华文细黑" w:eastAsia="华文细黑" w:cs="华文细黑"/>
                <w:b/>
                <w:bCs/>
                <w:sz w:val="28"/>
                <w:szCs w:val="28"/>
                <w:vertAlign w:val="baseline"/>
              </w:rPr>
            </w:pPr>
            <w:r>
              <w:rPr>
                <w:rFonts w:hint="eastAsia" w:ascii="华文细黑" w:hAnsi="华文细黑" w:eastAsia="华文细黑" w:cs="华文细黑"/>
                <w:b/>
                <w:bCs/>
                <w:sz w:val="28"/>
                <w:szCs w:val="28"/>
              </w:rPr>
              <w:t>上一年度情况</w:t>
            </w:r>
          </w:p>
        </w:tc>
        <w:tc>
          <w:tcPr>
            <w:tcW w:w="4261" w:type="dxa"/>
            <w:vAlign w:val="top"/>
          </w:tcPr>
          <w:p w14:paraId="22B9D47D">
            <w:pPr>
              <w:spacing w:line="360" w:lineRule="auto"/>
              <w:jc w:val="center"/>
              <w:rPr>
                <w:rFonts w:hint="eastAsia" w:ascii="华文细黑" w:hAnsi="华文细黑" w:eastAsia="华文细黑" w:cs="华文细黑"/>
                <w:b/>
                <w:bCs/>
                <w:sz w:val="28"/>
                <w:szCs w:val="28"/>
                <w:vertAlign w:val="baseline"/>
              </w:rPr>
            </w:pPr>
            <w:r>
              <w:rPr>
                <w:rFonts w:hint="eastAsia" w:ascii="华文细黑" w:hAnsi="华文细黑" w:eastAsia="华文细黑" w:cs="华文细黑"/>
                <w:b/>
                <w:bCs/>
                <w:sz w:val="28"/>
                <w:szCs w:val="28"/>
              </w:rPr>
              <w:t>下一年度调整</w:t>
            </w:r>
          </w:p>
        </w:tc>
      </w:tr>
      <w:tr w14:paraId="2C350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8A08A61">
            <w:pPr>
              <w:spacing w:line="360" w:lineRule="auto"/>
              <w:rPr>
                <w:rFonts w:hint="default" w:ascii="华文细黑" w:hAnsi="华文细黑" w:eastAsia="华文细黑" w:cs="华文细黑"/>
                <w:sz w:val="28"/>
                <w:szCs w:val="28"/>
                <w:vertAlign w:val="baseline"/>
                <w:lang w:val="en-US" w:eastAsia="zh-CN"/>
              </w:rPr>
            </w:pPr>
            <w:r>
              <w:rPr>
                <w:rFonts w:hint="eastAsia" w:ascii="华文细黑" w:hAnsi="华文细黑" w:eastAsia="华文细黑" w:cs="华文细黑"/>
                <w:sz w:val="28"/>
                <w:szCs w:val="28"/>
              </w:rPr>
              <w:t>副供应商</w:t>
            </w:r>
            <w:r>
              <w:rPr>
                <w:rFonts w:hint="eastAsia" w:ascii="华文细黑" w:hAnsi="华文细黑" w:eastAsia="华文细黑" w:cs="华文细黑"/>
                <w:sz w:val="28"/>
                <w:szCs w:val="28"/>
                <w:lang w:val="en-US" w:eastAsia="zh-CN"/>
              </w:rPr>
              <w:t>为A级；</w:t>
            </w:r>
            <w:r>
              <w:rPr>
                <w:rFonts w:hint="eastAsia" w:ascii="华文细黑" w:hAnsi="华文细黑" w:eastAsia="华文细黑" w:cs="华文细黑"/>
                <w:sz w:val="28"/>
                <w:szCs w:val="28"/>
              </w:rPr>
              <w:t>主供应商</w:t>
            </w:r>
            <w:r>
              <w:rPr>
                <w:rFonts w:hint="eastAsia" w:ascii="华文细黑" w:hAnsi="华文细黑" w:eastAsia="华文细黑" w:cs="华文细黑"/>
                <w:sz w:val="28"/>
                <w:szCs w:val="28"/>
                <w:lang w:val="en-US" w:eastAsia="zh-CN"/>
              </w:rPr>
              <w:t>为B级</w:t>
            </w:r>
          </w:p>
        </w:tc>
        <w:tc>
          <w:tcPr>
            <w:tcW w:w="4261" w:type="dxa"/>
          </w:tcPr>
          <w:p w14:paraId="55690957">
            <w:pPr>
              <w:spacing w:line="360" w:lineRule="auto"/>
              <w:rPr>
                <w:rFonts w:hint="eastAsia" w:ascii="华文细黑" w:hAnsi="华文细黑" w:eastAsia="华文细黑" w:cs="华文细黑"/>
                <w:sz w:val="28"/>
                <w:szCs w:val="28"/>
                <w:vertAlign w:val="baseline"/>
              </w:rPr>
            </w:pPr>
            <w:r>
              <w:rPr>
                <w:rFonts w:hint="eastAsia" w:ascii="华文细黑" w:hAnsi="华文细黑" w:eastAsia="华文细黑" w:cs="华文细黑"/>
                <w:sz w:val="28"/>
                <w:szCs w:val="28"/>
              </w:rPr>
              <w:t>副供应商升为主供应商，原主供应商降为副供应商，份额互换。</w:t>
            </w:r>
          </w:p>
        </w:tc>
      </w:tr>
      <w:tr w14:paraId="0972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230426E">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主供应商价格高于副供应商</w:t>
            </w:r>
            <w:r>
              <w:rPr>
                <w:rFonts w:hint="eastAsia" w:ascii="黑体" w:hAnsi="黑体" w:eastAsia="黑体" w:cs="黑体"/>
                <w:sz w:val="28"/>
                <w:szCs w:val="28"/>
              </w:rPr>
              <w:t>超过</w:t>
            </w:r>
            <w:r>
              <w:rPr>
                <w:rFonts w:hint="eastAsia" w:ascii="黑体" w:hAnsi="黑体" w:eastAsia="黑体" w:cs="黑体"/>
                <w:sz w:val="28"/>
                <w:szCs w:val="28"/>
                <w:lang w:val="en-US" w:eastAsia="zh-CN"/>
              </w:rPr>
              <w:t>3</w:t>
            </w:r>
            <w:r>
              <w:rPr>
                <w:rFonts w:hint="eastAsia" w:ascii="黑体" w:hAnsi="黑体" w:eastAsia="黑体" w:cs="黑体"/>
                <w:sz w:val="28"/>
                <w:szCs w:val="28"/>
              </w:rPr>
              <w:t>%</w:t>
            </w:r>
          </w:p>
        </w:tc>
        <w:tc>
          <w:tcPr>
            <w:tcW w:w="4261" w:type="dxa"/>
          </w:tcPr>
          <w:p w14:paraId="37CA271A">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主供应商份额缩减</w:t>
            </w:r>
            <w:r>
              <w:rPr>
                <w:rFonts w:hint="eastAsia" w:ascii="华文细黑" w:hAnsi="华文细黑" w:eastAsia="华文细黑" w:cs="华文细黑"/>
                <w:sz w:val="28"/>
                <w:szCs w:val="28"/>
                <w:lang w:val="en-US" w:eastAsia="zh-CN"/>
              </w:rPr>
              <w:t>10</w:t>
            </w:r>
            <w:r>
              <w:rPr>
                <w:rFonts w:hint="eastAsia" w:ascii="华文细黑" w:hAnsi="华文细黑" w:eastAsia="华文细黑" w:cs="华文细黑"/>
                <w:sz w:val="28"/>
                <w:szCs w:val="28"/>
              </w:rPr>
              <w:t>%，副供应商份额增加</w:t>
            </w:r>
            <w:r>
              <w:rPr>
                <w:rFonts w:hint="eastAsia" w:ascii="华文细黑" w:hAnsi="华文细黑" w:eastAsia="华文细黑" w:cs="华文细黑"/>
                <w:sz w:val="28"/>
                <w:szCs w:val="28"/>
                <w:lang w:val="en-US" w:eastAsia="zh-CN"/>
              </w:rPr>
              <w:t>10</w:t>
            </w:r>
            <w:r>
              <w:rPr>
                <w:rFonts w:hint="eastAsia" w:ascii="华文细黑" w:hAnsi="华文细黑" w:eastAsia="华文细黑" w:cs="华文细黑"/>
                <w:sz w:val="28"/>
                <w:szCs w:val="28"/>
              </w:rPr>
              <w:t>%。</w:t>
            </w:r>
          </w:p>
        </w:tc>
      </w:tr>
      <w:tr w14:paraId="4888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3BDA9E5">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副供应商价格优势明显（差异&gt;</w:t>
            </w:r>
            <w:r>
              <w:rPr>
                <w:rFonts w:hint="eastAsia" w:ascii="华文细黑" w:hAnsi="华文细黑" w:eastAsia="华文细黑" w:cs="华文细黑"/>
                <w:sz w:val="28"/>
                <w:szCs w:val="28"/>
                <w:lang w:val="en-US" w:eastAsia="zh-CN"/>
              </w:rPr>
              <w:t>5</w:t>
            </w:r>
            <w:r>
              <w:rPr>
                <w:rFonts w:hint="eastAsia" w:ascii="华文细黑" w:hAnsi="华文细黑" w:eastAsia="华文细黑" w:cs="华文细黑"/>
                <w:sz w:val="28"/>
                <w:szCs w:val="28"/>
              </w:rPr>
              <w:t>%）</w:t>
            </w:r>
          </w:p>
        </w:tc>
        <w:tc>
          <w:tcPr>
            <w:tcW w:w="4261" w:type="dxa"/>
          </w:tcPr>
          <w:p w14:paraId="59975C51">
            <w:pPr>
              <w:spacing w:line="360" w:lineRule="auto"/>
              <w:rPr>
                <w:rFonts w:hint="eastAsia" w:ascii="华文细黑" w:hAnsi="华文细黑" w:eastAsia="华文细黑" w:cs="华文细黑"/>
                <w:sz w:val="28"/>
                <w:szCs w:val="28"/>
                <w:lang w:val="en-US" w:eastAsia="zh-CN"/>
              </w:rPr>
            </w:pPr>
            <w:r>
              <w:rPr>
                <w:rFonts w:hint="eastAsia" w:ascii="华文细黑" w:hAnsi="华文细黑" w:eastAsia="华文细黑" w:cs="华文细黑"/>
                <w:sz w:val="28"/>
                <w:szCs w:val="28"/>
                <w:lang w:val="en-US" w:eastAsia="zh-CN"/>
              </w:rPr>
              <w:t>如果为A级，</w:t>
            </w:r>
            <w:r>
              <w:rPr>
                <w:rFonts w:hint="eastAsia" w:ascii="华文细黑" w:hAnsi="华文细黑" w:eastAsia="华文细黑" w:cs="华文细黑"/>
                <w:sz w:val="28"/>
                <w:szCs w:val="28"/>
              </w:rPr>
              <w:t>副供应商升为主供应商，原主供应商降为副供应商，份额互换。</w:t>
            </w:r>
          </w:p>
          <w:p w14:paraId="39BDBAA8">
            <w:pPr>
              <w:spacing w:line="360" w:lineRule="auto"/>
              <w:rPr>
                <w:rFonts w:hint="eastAsia" w:ascii="华文细黑" w:hAnsi="华文细黑" w:eastAsia="华文细黑" w:cs="华文细黑"/>
                <w:sz w:val="28"/>
                <w:szCs w:val="28"/>
                <w:lang w:val="en-US" w:eastAsia="zh-CN"/>
              </w:rPr>
            </w:pPr>
            <w:r>
              <w:rPr>
                <w:rFonts w:hint="eastAsia" w:ascii="华文细黑" w:hAnsi="华文细黑" w:eastAsia="华文细黑" w:cs="华文细黑"/>
                <w:sz w:val="28"/>
                <w:szCs w:val="28"/>
                <w:lang w:val="en-US" w:eastAsia="zh-CN"/>
              </w:rPr>
              <w:t>如果为B级，</w:t>
            </w:r>
            <w:r>
              <w:rPr>
                <w:rFonts w:hint="eastAsia" w:ascii="华文细黑" w:hAnsi="华文细黑" w:eastAsia="华文细黑" w:cs="华文细黑"/>
                <w:sz w:val="28"/>
                <w:szCs w:val="28"/>
              </w:rPr>
              <w:t>保持副供应商地位</w:t>
            </w:r>
            <w:r>
              <w:rPr>
                <w:rFonts w:hint="eastAsia" w:ascii="华文细黑" w:hAnsi="华文细黑" w:eastAsia="华文细黑" w:cs="华文细黑"/>
                <w:sz w:val="28"/>
                <w:szCs w:val="28"/>
                <w:lang w:val="en-US" w:eastAsia="zh-CN"/>
              </w:rPr>
              <w:t>,</w:t>
            </w:r>
            <w:r>
              <w:rPr>
                <w:rFonts w:hint="eastAsia" w:ascii="华文细黑" w:hAnsi="华文细黑" w:eastAsia="华文细黑" w:cs="华文细黑"/>
                <w:sz w:val="28"/>
                <w:szCs w:val="28"/>
              </w:rPr>
              <w:t>份额不增加</w:t>
            </w:r>
            <w:r>
              <w:rPr>
                <w:rFonts w:hint="eastAsia" w:ascii="华文细黑" w:hAnsi="华文细黑" w:eastAsia="华文细黑" w:cs="华文细黑"/>
                <w:sz w:val="28"/>
                <w:szCs w:val="28"/>
                <w:lang w:eastAsia="zh-CN"/>
              </w:rPr>
              <w:t>。</w:t>
            </w:r>
          </w:p>
          <w:p w14:paraId="6510FFCB">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lang w:val="en-US" w:eastAsia="zh-CN"/>
              </w:rPr>
              <w:t>如果为C/D级，</w:t>
            </w:r>
            <w:r>
              <w:rPr>
                <w:rFonts w:hint="eastAsia" w:ascii="华文细黑" w:hAnsi="华文细黑" w:eastAsia="华文细黑" w:cs="华文细黑"/>
                <w:sz w:val="28"/>
                <w:szCs w:val="28"/>
              </w:rPr>
              <w:t xml:space="preserve">暂停其份额，由主供应商承接。 </w:t>
            </w:r>
          </w:p>
        </w:tc>
      </w:tr>
      <w:tr w14:paraId="1C4B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0BA40B8">
            <w:pPr>
              <w:spacing w:line="360" w:lineRule="auto"/>
              <w:rPr>
                <w:rFonts w:hint="default" w:ascii="华文细黑" w:hAnsi="华文细黑" w:eastAsia="华文细黑" w:cs="华文细黑"/>
                <w:sz w:val="28"/>
                <w:szCs w:val="28"/>
                <w:lang w:val="en-US"/>
              </w:rPr>
            </w:pPr>
            <w:r>
              <w:rPr>
                <w:rFonts w:hint="eastAsia" w:ascii="华文细黑" w:hAnsi="华文细黑" w:eastAsia="华文细黑" w:cs="华文细黑"/>
                <w:sz w:val="28"/>
                <w:szCs w:val="28"/>
              </w:rPr>
              <w:t>双方价格</w:t>
            </w:r>
            <w:r>
              <w:rPr>
                <w:rFonts w:hint="eastAsia" w:ascii="华文细黑" w:hAnsi="华文细黑" w:eastAsia="华文细黑" w:cs="华文细黑"/>
                <w:sz w:val="28"/>
                <w:szCs w:val="28"/>
                <w:lang w:val="en-US" w:eastAsia="zh-CN"/>
              </w:rPr>
              <w:t>差&lt;2%,</w:t>
            </w:r>
            <w:r>
              <w:rPr>
                <w:rFonts w:hint="eastAsia" w:ascii="华文细黑" w:hAnsi="华文细黑" w:eastAsia="华文细黑" w:cs="华文细黑"/>
                <w:sz w:val="28"/>
                <w:szCs w:val="28"/>
              </w:rPr>
              <w:t>副供应商</w:t>
            </w:r>
            <w:r>
              <w:rPr>
                <w:rFonts w:hint="eastAsia" w:ascii="华文细黑" w:hAnsi="华文细黑" w:eastAsia="华文细黑" w:cs="华文细黑"/>
                <w:sz w:val="28"/>
                <w:szCs w:val="28"/>
                <w:lang w:val="en-US" w:eastAsia="zh-CN"/>
              </w:rPr>
              <w:t>为A级；</w:t>
            </w:r>
            <w:r>
              <w:rPr>
                <w:rFonts w:hint="eastAsia" w:ascii="华文细黑" w:hAnsi="华文细黑" w:eastAsia="华文细黑" w:cs="华文细黑"/>
                <w:sz w:val="28"/>
                <w:szCs w:val="28"/>
              </w:rPr>
              <w:t>主供应商</w:t>
            </w:r>
            <w:r>
              <w:rPr>
                <w:rFonts w:hint="eastAsia" w:ascii="华文细黑" w:hAnsi="华文细黑" w:eastAsia="华文细黑" w:cs="华文细黑"/>
                <w:sz w:val="28"/>
                <w:szCs w:val="28"/>
                <w:lang w:val="en-US" w:eastAsia="zh-CN"/>
              </w:rPr>
              <w:t>为A级</w:t>
            </w:r>
          </w:p>
        </w:tc>
        <w:tc>
          <w:tcPr>
            <w:tcW w:w="4261" w:type="dxa"/>
          </w:tcPr>
          <w:p w14:paraId="1E5B6EFE">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按 50%/50% 分配。</w:t>
            </w:r>
          </w:p>
        </w:tc>
      </w:tr>
    </w:tbl>
    <w:p w14:paraId="3F5EC94E">
      <w:pPr>
        <w:spacing w:line="360" w:lineRule="auto"/>
        <w:rPr>
          <w:rFonts w:hint="eastAsia" w:ascii="华文细黑" w:hAnsi="华文细黑" w:eastAsia="华文细黑" w:cs="华文细黑"/>
          <w:sz w:val="28"/>
          <w:szCs w:val="28"/>
        </w:rPr>
      </w:pPr>
    </w:p>
    <w:p w14:paraId="67CB8EDB">
      <w:pPr>
        <w:spacing w:line="360" w:lineRule="auto"/>
        <w:rPr>
          <w:rFonts w:hint="eastAsia" w:ascii="华文细黑" w:hAnsi="华文细黑" w:eastAsia="华文细黑" w:cs="华文细黑"/>
          <w:sz w:val="28"/>
          <w:szCs w:val="28"/>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、价格复核程序</w:t>
      </w:r>
    </w:p>
    <w:p w14:paraId="30FCA801">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当出现以下任一情形时，采购方有权启动价格复核：</w:t>
      </w:r>
    </w:p>
    <w:p w14:paraId="08336BFB">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1. 副供应商报价低于主供应商</w:t>
      </w:r>
      <w:r>
        <w:rPr>
          <w:rFonts w:hint="eastAsia" w:ascii="华文细黑" w:hAnsi="华文细黑" w:eastAsia="华文细黑" w:cs="华文细黑"/>
          <w:b/>
          <w:bCs/>
          <w:sz w:val="28"/>
          <w:szCs w:val="28"/>
        </w:rPr>
        <w:t>超过8%</w:t>
      </w:r>
      <w:r>
        <w:rPr>
          <w:rFonts w:hint="eastAsia" w:ascii="华文细黑" w:hAnsi="华文细黑" w:eastAsia="华文细黑" w:cs="华文细黑"/>
          <w:sz w:val="28"/>
          <w:szCs w:val="28"/>
        </w:rPr>
        <w:t>；</w:t>
      </w:r>
    </w:p>
    <w:p w14:paraId="20D5B150">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 xml:space="preserve">2. 主供应商报价高于市场同类产品均价 </w:t>
      </w:r>
      <w:r>
        <w:rPr>
          <w:rFonts w:hint="eastAsia" w:ascii="华文细黑" w:hAnsi="华文细黑" w:eastAsia="华文细黑" w:cs="华文细黑"/>
          <w:b/>
          <w:bCs/>
          <w:sz w:val="28"/>
          <w:szCs w:val="28"/>
        </w:rPr>
        <w:t>超过15%</w:t>
      </w:r>
      <w:r>
        <w:rPr>
          <w:rFonts w:hint="eastAsia" w:ascii="华文细黑" w:hAnsi="华文细黑" w:eastAsia="华文细黑" w:cs="华文细黑"/>
          <w:sz w:val="28"/>
          <w:szCs w:val="28"/>
        </w:rPr>
        <w:t>（以采购方市场调研为准）；</w:t>
      </w:r>
    </w:p>
    <w:p w14:paraId="5A79F4CE">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3. 任何一方对价格差异提出书面异议。</w:t>
      </w:r>
    </w:p>
    <w:p w14:paraId="40A16196">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b/>
          <w:bCs/>
          <w:sz w:val="28"/>
          <w:szCs w:val="28"/>
        </w:rPr>
        <w:t>复核程序</w:t>
      </w:r>
      <w:r>
        <w:rPr>
          <w:rFonts w:hint="eastAsia" w:ascii="华文细黑" w:hAnsi="华文细黑" w:eastAsia="华文细黑" w:cs="华文细黑"/>
          <w:sz w:val="28"/>
          <w:szCs w:val="28"/>
        </w:rPr>
        <w:t>：</w:t>
      </w:r>
    </w:p>
    <w:p w14:paraId="7D65F7F6">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1. 采购方书面通知主、副供应商复核事由。</w:t>
      </w:r>
    </w:p>
    <w:p w14:paraId="31218294">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2. 双方在5个工作日内提交成本分析、报价依据等材料。</w:t>
      </w:r>
    </w:p>
    <w:p w14:paraId="4D792532">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3. 采购方组织内部评标委员会（或第三方审计）进行审查。</w:t>
      </w:r>
    </w:p>
    <w:p w14:paraId="57BF4B34">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4. 复核结果：</w:t>
      </w:r>
    </w:p>
    <w:p w14:paraId="488AAFB3">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 xml:space="preserve">   若价格差异合理（如主供应商因工艺、材料标准更高导致成本高），则维持原排名及份额分配。</w:t>
      </w:r>
    </w:p>
    <w:p w14:paraId="3C02899A">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 xml:space="preserve">   若主供应商报价虚高，采购方有权要求其降价至合理水平（不低于副供应商报价+5%），否则将其降为副供应商。</w:t>
      </w:r>
    </w:p>
    <w:p w14:paraId="65680218">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 xml:space="preserve">   若副供应商恶意低价（明显低于成本），采购方有权取消其副供应商资格，并由排名第三的供应商递补。</w:t>
      </w:r>
    </w:p>
    <w:p w14:paraId="1E8BED1E">
      <w:pPr>
        <w:spacing w:line="360" w:lineRule="auto"/>
        <w:rPr>
          <w:rFonts w:hint="eastAsia" w:ascii="华文细黑" w:hAnsi="华文细黑" w:eastAsia="华文细黑" w:cs="华文细黑"/>
          <w:sz w:val="28"/>
          <w:szCs w:val="28"/>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、价格调整与年度调价机会</w:t>
      </w:r>
    </w:p>
    <w:p w14:paraId="2459444B">
      <w:pPr>
        <w:spacing w:line="360" w:lineRule="auto"/>
        <w:ind w:firstLine="280" w:firstLineChars="100"/>
        <w:rPr>
          <w:rFonts w:hint="eastAsia" w:ascii="华文细黑" w:hAnsi="华文细黑" w:eastAsia="华文细黑" w:cs="华文细黑"/>
          <w:sz w:val="28"/>
          <w:szCs w:val="28"/>
        </w:rPr>
      </w:pPr>
      <w:r>
        <w:rPr>
          <w:rFonts w:hint="eastAsia" w:ascii="华文细黑" w:hAnsi="华文细黑" w:eastAsia="华文细黑" w:cs="华文细黑"/>
          <w:sz w:val="28"/>
          <w:szCs w:val="28"/>
        </w:rPr>
        <w:t>根据</w:t>
      </w:r>
      <w:r>
        <w:rPr>
          <w:rFonts w:hint="eastAsia" w:ascii="华文细黑" w:hAnsi="华文细黑" w:eastAsia="华文细黑" w:cs="华文细黑"/>
          <w:sz w:val="28"/>
          <w:szCs w:val="28"/>
          <w:lang w:eastAsia="zh-CN"/>
        </w:rPr>
        <w:t>《</w:t>
      </w:r>
      <w:r>
        <w:rPr>
          <w:rFonts w:hint="eastAsia" w:ascii="华文细黑" w:hAnsi="华文细黑" w:eastAsia="华文细黑" w:cs="华文细黑"/>
          <w:sz w:val="28"/>
          <w:szCs w:val="28"/>
        </w:rPr>
        <w:t>五年</w:t>
      </w:r>
      <w:r>
        <w:rPr>
          <w:rFonts w:hint="eastAsia" w:ascii="华文细黑" w:hAnsi="华文细黑" w:eastAsia="华文细黑" w:cs="华文细黑"/>
          <w:sz w:val="28"/>
          <w:szCs w:val="28"/>
          <w:lang w:val="en-US" w:eastAsia="zh-CN"/>
        </w:rPr>
        <w:t>供应资格</w:t>
      </w:r>
      <w:r>
        <w:rPr>
          <w:rFonts w:hint="eastAsia" w:ascii="华文细黑" w:hAnsi="华文细黑" w:eastAsia="华文细黑" w:cs="华文细黑"/>
          <w:sz w:val="28"/>
          <w:szCs w:val="28"/>
        </w:rPr>
        <w:t>框架协议</w:t>
      </w:r>
      <w:r>
        <w:rPr>
          <w:rFonts w:hint="eastAsia" w:ascii="华文细黑" w:hAnsi="华文细黑" w:eastAsia="华文细黑" w:cs="华文细黑"/>
          <w:sz w:val="28"/>
          <w:szCs w:val="28"/>
          <w:lang w:eastAsia="zh-CN"/>
        </w:rPr>
        <w:t>》</w:t>
      </w:r>
      <w:r>
        <w:rPr>
          <w:rFonts w:hint="eastAsia" w:ascii="华文细黑" w:hAnsi="华文细黑" w:eastAsia="华文细黑" w:cs="华文细黑"/>
          <w:sz w:val="28"/>
          <w:szCs w:val="28"/>
        </w:rPr>
        <w:t>中的“每年一次调价机会”，主、副供应商可在年度合同签订前提出调价申请。</w:t>
      </w:r>
    </w:p>
    <w:p w14:paraId="39836151">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调价幅度应与市场行情、原材料成本变动相符。</w:t>
      </w:r>
    </w:p>
    <w:p w14:paraId="1F2FB0BA">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若主供应商要求涨价，采购方可对比副供应商价格决定是否接受；若副供应商要求降价，采购方可优先增加其份额。</w:t>
      </w:r>
    </w:p>
    <w:p w14:paraId="55F7E90B">
      <w:pPr>
        <w:spacing w:line="360" w:lineRule="auto"/>
        <w:rPr>
          <w:rFonts w:hint="eastAsia" w:ascii="华文细黑" w:hAnsi="华文细黑" w:eastAsia="华文细黑" w:cs="华文细黑"/>
          <w:sz w:val="28"/>
          <w:szCs w:val="28"/>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、向供应商的信息披露</w:t>
      </w:r>
    </w:p>
    <w:p w14:paraId="3E6D2E81">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采购方应在每年年度合同签订前，向主、副供应商书面告知：</w:t>
      </w:r>
    </w:p>
    <w:p w14:paraId="00CF8672">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下一年度的价格差异容忍区间</w:t>
      </w:r>
    </w:p>
    <w:p w14:paraId="0A80B121">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预计的份额分配比例</w:t>
      </w:r>
    </w:p>
    <w:p w14:paraId="100D481C">
      <w:pPr>
        <w:numPr>
          <w:ilvl w:val="0"/>
          <w:numId w:val="1"/>
        </w:numPr>
        <w:spacing w:line="360" w:lineRule="auto"/>
        <w:ind w:left="420" w:leftChars="0" w:hanging="420" w:firstLineChars="0"/>
        <w:rPr>
          <w:rFonts w:hint="eastAsia" w:ascii="华文细黑" w:hAnsi="华文细黑" w:eastAsia="华文细黑" w:cs="华文细黑"/>
          <w:sz w:val="28"/>
          <w:szCs w:val="28"/>
        </w:rPr>
      </w:pPr>
      <w:r>
        <w:rPr>
          <w:rFonts w:hint="eastAsia" w:ascii="华文细黑" w:hAnsi="华文细黑" w:eastAsia="华文细黑" w:cs="华文细黑"/>
          <w:sz w:val="28"/>
          <w:szCs w:val="28"/>
        </w:rPr>
        <w:t>调价申请的截止时间</w:t>
      </w:r>
    </w:p>
    <w:p w14:paraId="46899CCF">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双方确认无异议后，签署年度合同。</w:t>
      </w:r>
    </w:p>
    <w:p w14:paraId="46A8703E">
      <w:pPr>
        <w:spacing w:line="360" w:lineRule="auto"/>
        <w:rPr>
          <w:rFonts w:hint="eastAsia" w:ascii="华文细黑" w:hAnsi="华文细黑" w:eastAsia="华文细黑" w:cs="华文细黑"/>
          <w:sz w:val="28"/>
          <w:szCs w:val="28"/>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、附则</w:t>
      </w:r>
    </w:p>
    <w:p w14:paraId="35721E96">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1. 本规则作为招标文件及</w:t>
      </w:r>
      <w:r>
        <w:rPr>
          <w:rFonts w:hint="eastAsia" w:ascii="华文细黑" w:hAnsi="华文细黑" w:eastAsia="华文细黑" w:cs="华文细黑"/>
          <w:sz w:val="28"/>
          <w:szCs w:val="28"/>
          <w:lang w:eastAsia="zh-CN"/>
        </w:rPr>
        <w:t>《</w:t>
      </w:r>
      <w:r>
        <w:rPr>
          <w:rFonts w:hint="eastAsia" w:ascii="华文细黑" w:hAnsi="华文细黑" w:eastAsia="华文细黑" w:cs="华文细黑"/>
          <w:sz w:val="28"/>
          <w:szCs w:val="28"/>
        </w:rPr>
        <w:t>五年</w:t>
      </w:r>
      <w:r>
        <w:rPr>
          <w:rFonts w:hint="eastAsia" w:ascii="华文细黑" w:hAnsi="华文细黑" w:eastAsia="华文细黑" w:cs="华文细黑"/>
          <w:sz w:val="28"/>
          <w:szCs w:val="28"/>
          <w:lang w:val="en-US" w:eastAsia="zh-CN"/>
        </w:rPr>
        <w:t>供应资格</w:t>
      </w:r>
      <w:r>
        <w:rPr>
          <w:rFonts w:hint="eastAsia" w:ascii="华文细黑" w:hAnsi="华文细黑" w:eastAsia="华文细黑" w:cs="华文细黑"/>
          <w:sz w:val="28"/>
          <w:szCs w:val="28"/>
        </w:rPr>
        <w:t>框架协议</w:t>
      </w:r>
      <w:r>
        <w:rPr>
          <w:rFonts w:hint="eastAsia" w:ascii="华文细黑" w:hAnsi="华文细黑" w:eastAsia="华文细黑" w:cs="华文细黑"/>
          <w:sz w:val="28"/>
          <w:szCs w:val="28"/>
          <w:lang w:eastAsia="zh-CN"/>
        </w:rPr>
        <w:t>》</w:t>
      </w:r>
      <w:r>
        <w:rPr>
          <w:rFonts w:hint="eastAsia" w:ascii="华文细黑" w:hAnsi="华文细黑" w:eastAsia="华文细黑" w:cs="华文细黑"/>
          <w:sz w:val="28"/>
          <w:szCs w:val="28"/>
        </w:rPr>
        <w:t>的附件，与主合同具有同等法律效力。</w:t>
      </w:r>
    </w:p>
    <w:p w14:paraId="02CD870A">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2. 采购方保留根据市场情况及项目实际需求对本规则进行合理调整的权利，调整前应提前15日书面通知主、副供应商。</w:t>
      </w:r>
    </w:p>
    <w:p w14:paraId="39361BEB">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3. 本规则未尽事宜，由双方协商解决；协商不成的，按</w:t>
      </w:r>
      <w:r>
        <w:rPr>
          <w:rFonts w:hint="eastAsia" w:ascii="华文细黑" w:hAnsi="华文细黑" w:eastAsia="华文细黑" w:cs="华文细黑"/>
          <w:sz w:val="28"/>
          <w:szCs w:val="28"/>
          <w:lang w:eastAsia="zh-CN"/>
        </w:rPr>
        <w:t>《</w:t>
      </w:r>
      <w:r>
        <w:rPr>
          <w:rFonts w:hint="eastAsia" w:ascii="华文细黑" w:hAnsi="华文细黑" w:eastAsia="华文细黑" w:cs="华文细黑"/>
          <w:sz w:val="28"/>
          <w:szCs w:val="28"/>
        </w:rPr>
        <w:t>五年</w:t>
      </w:r>
      <w:r>
        <w:rPr>
          <w:rFonts w:hint="eastAsia" w:ascii="华文细黑" w:hAnsi="华文细黑" w:eastAsia="华文细黑" w:cs="华文细黑"/>
          <w:sz w:val="28"/>
          <w:szCs w:val="28"/>
          <w:lang w:val="en-US" w:eastAsia="zh-CN"/>
        </w:rPr>
        <w:t>供应资格</w:t>
      </w:r>
      <w:r>
        <w:rPr>
          <w:rFonts w:hint="eastAsia" w:ascii="华文细黑" w:hAnsi="华文细黑" w:eastAsia="华文细黑" w:cs="华文细黑"/>
          <w:sz w:val="28"/>
          <w:szCs w:val="28"/>
        </w:rPr>
        <w:t>框架协议</w:t>
      </w:r>
      <w:r>
        <w:rPr>
          <w:rFonts w:hint="eastAsia" w:ascii="华文细黑" w:hAnsi="华文细黑" w:eastAsia="华文细黑" w:cs="华文细黑"/>
          <w:sz w:val="28"/>
          <w:szCs w:val="28"/>
          <w:lang w:eastAsia="zh-CN"/>
        </w:rPr>
        <w:t>》</w:t>
      </w:r>
      <w:r>
        <w:rPr>
          <w:rFonts w:hint="eastAsia" w:ascii="华文细黑" w:hAnsi="华文细黑" w:eastAsia="华文细黑" w:cs="华文细黑"/>
          <w:sz w:val="28"/>
          <w:szCs w:val="28"/>
        </w:rPr>
        <w:t>约定的争议解决方式处理。</w:t>
      </w:r>
    </w:p>
    <w:p w14:paraId="29005F0B">
      <w:pPr>
        <w:spacing w:line="360" w:lineRule="auto"/>
        <w:rPr>
          <w:rFonts w:hint="eastAsia" w:ascii="华文细黑" w:hAnsi="华文细黑" w:eastAsia="华文细黑" w:cs="华文细黑"/>
          <w:sz w:val="28"/>
          <w:szCs w:val="28"/>
        </w:rPr>
      </w:pPr>
    </w:p>
    <w:p w14:paraId="36409642">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投标人（主/副供应商）已阅读并理解本规则，同意遵守。</w:t>
      </w:r>
    </w:p>
    <w:p w14:paraId="41F25AD7">
      <w:pPr>
        <w:spacing w:line="360" w:lineRule="auto"/>
        <w:rPr>
          <w:rFonts w:hint="eastAsia" w:ascii="华文细黑" w:hAnsi="华文细黑" w:eastAsia="华文细黑" w:cs="华文细黑"/>
          <w:sz w:val="28"/>
          <w:szCs w:val="28"/>
        </w:rPr>
      </w:pPr>
    </w:p>
    <w:p w14:paraId="16F60F4A">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投标人（盖章）：</w:t>
      </w:r>
    </w:p>
    <w:p w14:paraId="02B4D2E2">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法定代表人或授权代表（签字）：</w:t>
      </w:r>
    </w:p>
    <w:p w14:paraId="2266F07C">
      <w:pPr>
        <w:spacing w:line="360" w:lineRule="auto"/>
        <w:rPr>
          <w:rFonts w:hint="eastAsia" w:ascii="华文细黑" w:hAnsi="华文细黑" w:eastAsia="华文细黑" w:cs="华文细黑"/>
          <w:sz w:val="28"/>
          <w:szCs w:val="28"/>
        </w:rPr>
      </w:pPr>
      <w:r>
        <w:rPr>
          <w:rFonts w:hint="eastAsia" w:ascii="华文细黑" w:hAnsi="华文细黑" w:eastAsia="华文细黑" w:cs="华文细黑"/>
          <w:sz w:val="28"/>
          <w:szCs w:val="28"/>
        </w:rPr>
        <w:t>日期：</w:t>
      </w:r>
      <w:r>
        <w:rPr>
          <w:rFonts w:hint="eastAsia" w:ascii="华文细黑" w:hAnsi="华文细黑" w:eastAsia="华文细黑" w:cs="华文细黑"/>
          <w:sz w:val="28"/>
          <w:szCs w:val="28"/>
          <w:lang w:val="en-US" w:eastAsia="zh-CN"/>
        </w:rPr>
        <w:t>2026</w:t>
      </w:r>
      <w:r>
        <w:rPr>
          <w:rFonts w:hint="eastAsia" w:ascii="华文细黑" w:hAnsi="华文细黑" w:eastAsia="华文细黑" w:cs="华文细黑"/>
          <w:sz w:val="28"/>
          <w:szCs w:val="28"/>
        </w:rPr>
        <w:t>年</w:t>
      </w:r>
      <w:r>
        <w:rPr>
          <w:rFonts w:hint="eastAsia" w:ascii="华文细黑" w:hAnsi="华文细黑" w:eastAsia="华文细黑" w:cs="华文细黑"/>
          <w:sz w:val="28"/>
          <w:szCs w:val="28"/>
          <w:lang w:val="en-US" w:eastAsia="zh-CN"/>
        </w:rPr>
        <w:t>7</w:t>
      </w:r>
      <w:bookmarkStart w:id="0" w:name="_GoBack"/>
      <w:bookmarkEnd w:id="0"/>
      <w:r>
        <w:rPr>
          <w:rFonts w:hint="eastAsia" w:ascii="华文细黑" w:hAnsi="华文细黑" w:eastAsia="华文细黑" w:cs="华文细黑"/>
          <w:sz w:val="28"/>
          <w:szCs w:val="28"/>
        </w:rPr>
        <w:t>月</w:t>
      </w:r>
      <w:r>
        <w:rPr>
          <w:rFonts w:hint="eastAsia" w:ascii="华文细黑" w:hAnsi="华文细黑" w:eastAsia="华文细黑" w:cs="华文细黑"/>
          <w:sz w:val="28"/>
          <w:szCs w:val="28"/>
          <w:lang w:val="en-US" w:eastAsia="zh-CN"/>
        </w:rPr>
        <w:t xml:space="preserve">  </w:t>
      </w:r>
      <w:r>
        <w:rPr>
          <w:rFonts w:hint="eastAsia" w:ascii="华文细黑" w:hAnsi="华文细黑" w:eastAsia="华文细黑" w:cs="华文细黑"/>
          <w:sz w:val="28"/>
          <w:szCs w:val="28"/>
        </w:rPr>
        <w:t xml:space="preserve">日  </w:t>
      </w:r>
    </w:p>
    <w:p w14:paraId="2C90D959">
      <w:pPr>
        <w:spacing w:line="360" w:lineRule="auto"/>
        <w:rPr>
          <w:rFonts w:hint="eastAsia"/>
          <w:sz w:val="24"/>
          <w:szCs w:val="24"/>
        </w:rPr>
      </w:pPr>
    </w:p>
    <w:p w14:paraId="1576E1E6">
      <w:pPr>
        <w:spacing w:line="360" w:lineRule="auto"/>
        <w:rPr>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8BD3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C1B57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C1B574">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2DCAE"/>
    <w:multiLevelType w:val="singleLevel"/>
    <w:tmpl w:val="9BB2DCAE"/>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B4982"/>
    <w:rsid w:val="05CB4982"/>
    <w:rsid w:val="0D920C1F"/>
    <w:rsid w:val="2FF65139"/>
    <w:rsid w:val="4A450A57"/>
    <w:rsid w:val="4BB03CFB"/>
    <w:rsid w:val="515B321E"/>
    <w:rsid w:val="58FE6895"/>
    <w:rsid w:val="59241D5D"/>
    <w:rsid w:val="66116086"/>
    <w:rsid w:val="6BE50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1169</Words>
  <Characters>1209</Characters>
  <Lines>0</Lines>
  <Paragraphs>0</Paragraphs>
  <TotalTime>0</TotalTime>
  <ScaleCrop>false</ScaleCrop>
  <LinksUpToDate>false</LinksUpToDate>
  <CharactersWithSpaces>1239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2026-05-04T10:43:00Z</dcterms:created>
  <dc:creator>宣</dc:creator>
  <cp:lastModifiedBy>宣</cp:lastModifiedBy>
  <dcterms:modified xsi:type="dcterms:W3CDTF">2026-07-13T07:45:56Z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F808E795C9314BAB8543D6C631A5A99D_11</vt:lpwstr>
  </property>
  <property fmtid="{D5CDD505-2E9C-101B-9397-08002B2CF9AE}" pid="4" name="KSOTemplateDocerSaveRecord">
    <vt:lpwstr>eyJoZGlkIjoiMTQ5OWU3ZGU2ZDIzNzUzYTZhMTUwOWJjMGM5NWFlYjYiLCJ1c2VySWQiOiIxMjA1OTU2NDExIn0=</vt:lpwstr>
  </property>
</Properties>
</file>